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DE" w:rsidRPr="00653FF5" w:rsidRDefault="00E806DE" w:rsidP="00653FF5">
      <w:pPr>
        <w:autoSpaceDE w:val="0"/>
        <w:autoSpaceDN w:val="0"/>
        <w:adjustRightInd w:val="0"/>
        <w:spacing w:line="300" w:lineRule="auto"/>
        <w:ind w:firstLineChars="650" w:firstLine="2082"/>
        <w:jc w:val="left"/>
        <w:rPr>
          <w:rFonts w:ascii="標楷體" w:hAnsi="標楷體" w:cs="Courier New"/>
          <w:b/>
          <w:color w:val="000000"/>
          <w:sz w:val="32"/>
          <w:szCs w:val="32"/>
          <w:lang w:eastAsia="zh-TW"/>
        </w:rPr>
      </w:pPr>
      <w:r w:rsidRPr="00653FF5">
        <w:rPr>
          <w:rFonts w:ascii="標楷體" w:eastAsia="標楷體" w:hAnsi="標楷體" w:cs="Courier New" w:hint="eastAsia"/>
          <w:b/>
          <w:color w:val="000000"/>
          <w:sz w:val="32"/>
          <w:szCs w:val="32"/>
          <w:lang w:eastAsia="zh-TW"/>
        </w:rPr>
        <w:t>張 偉</w:t>
      </w:r>
      <w:r w:rsidR="00653FF5" w:rsidRPr="00653FF5">
        <w:rPr>
          <w:rFonts w:ascii="標楷體" w:hAnsi="標楷體" w:cs="Courier New" w:hint="eastAsia"/>
          <w:b/>
          <w:color w:val="000000"/>
          <w:sz w:val="32"/>
          <w:szCs w:val="32"/>
          <w:lang w:eastAsia="zh-TW"/>
        </w:rPr>
        <w:t xml:space="preserve">  </w:t>
      </w:r>
    </w:p>
    <w:p w:rsidR="00E806DE" w:rsidRPr="00653FF5" w:rsidRDefault="00653FF5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cs="Courier New" w:hint="eastAsia"/>
          <w:b/>
          <w:noProof/>
          <w:color w:val="000000"/>
          <w:sz w:val="32"/>
          <w:szCs w:val="32"/>
          <w:lang w:eastAsia="zh-TW"/>
        </w:rPr>
        <w:drawing>
          <wp:anchor distT="0" distB="0" distL="114300" distR="114300" simplePos="0" relativeHeight="251658240" behindDoc="0" locked="0" layoutInCell="1" allowOverlap="1" wp14:anchorId="0A3829D8" wp14:editId="27A9F273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1198245" cy="179959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zhangwe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DE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職稱</w:t>
      </w:r>
      <w:r w:rsidR="00C263B3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：</w:t>
      </w:r>
      <w:r w:rsidR="00E806DE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副教授</w:t>
      </w:r>
    </w:p>
    <w:p w:rsidR="00E806DE" w:rsidRPr="00653FF5" w:rsidRDefault="00E806D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學院</w:t>
      </w:r>
      <w:r w:rsidRPr="00653FF5"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  <w:t>/</w:t>
      </w: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部門</w:t>
      </w:r>
      <w:r w:rsidR="00C263B3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：</w:t>
      </w: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中藥質量研究國家重點實驗室（</w:t>
      </w:r>
      <w:r w:rsidR="00C263B3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澳門科技大學）</w:t>
      </w: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;中醫藥學院</w:t>
      </w:r>
    </w:p>
    <w:p w:rsidR="00E806DE" w:rsidRPr="00653FF5" w:rsidRDefault="00E806D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電郵地址</w:t>
      </w:r>
      <w:r w:rsidR="00C263B3" w:rsidRPr="00653FF5">
        <w:rPr>
          <w:rFonts w:ascii="標楷體" w:eastAsia="標楷體" w:hAnsi="標楷體" w:cs="Courier New" w:hint="eastAsia"/>
          <w:color w:val="000000"/>
          <w:sz w:val="22"/>
          <w:szCs w:val="22"/>
        </w:rPr>
        <w:t>：</w:t>
      </w:r>
      <w:hyperlink r:id="rId8" w:history="1">
        <w:r w:rsidR="0037059A" w:rsidRPr="00653FF5">
          <w:rPr>
            <w:rStyle w:val="a8"/>
            <w:rFonts w:ascii="標楷體" w:eastAsia="標楷體" w:hAnsi="標楷體" w:cs="Courier New"/>
            <w:sz w:val="22"/>
            <w:szCs w:val="22"/>
          </w:rPr>
          <w:t>wzhang@must.edu.mo</w:t>
        </w:r>
      </w:hyperlink>
    </w:p>
    <w:p w:rsidR="00E806DE" w:rsidRPr="00653FF5" w:rsidRDefault="00E806D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電話</w:t>
      </w:r>
      <w:r w:rsidR="00C263B3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：</w:t>
      </w:r>
      <w:r w:rsidRPr="00653FF5"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  <w:t>(853) 8897-</w:t>
      </w: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2463</w:t>
      </w:r>
    </w:p>
    <w:p w:rsidR="00E806DE" w:rsidRPr="00653FF5" w:rsidRDefault="00E806DE" w:rsidP="00653FF5">
      <w:pPr>
        <w:autoSpaceDE w:val="0"/>
        <w:autoSpaceDN w:val="0"/>
        <w:adjustRightInd w:val="0"/>
        <w:spacing w:line="300" w:lineRule="auto"/>
        <w:ind w:leftChars="1011" w:left="2123"/>
        <w:jc w:val="left"/>
        <w:rPr>
          <w:rFonts w:ascii="標楷體" w:eastAsia="標楷體" w:hAnsi="標楷體" w:cs="Courier New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辦公室</w:t>
      </w:r>
      <w:r w:rsidR="00C263B3"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：</w:t>
      </w:r>
      <w:r w:rsidRPr="00653FF5">
        <w:rPr>
          <w:rFonts w:ascii="標楷體" w:eastAsia="標楷體" w:hAnsi="標楷體" w:cs="Courier New" w:hint="eastAsia"/>
          <w:color w:val="000000"/>
          <w:sz w:val="22"/>
          <w:szCs w:val="22"/>
          <w:lang w:eastAsia="zh-TW"/>
        </w:rPr>
        <w:t>H718E</w:t>
      </w:r>
    </w:p>
    <w:p w:rsidR="00E806DE" w:rsidRPr="00653FF5" w:rsidRDefault="00E806DE" w:rsidP="00653FF5">
      <w:pPr>
        <w:pStyle w:val="a5"/>
        <w:spacing w:line="300" w:lineRule="auto"/>
        <w:ind w:leftChars="1011" w:left="2123"/>
        <w:rPr>
          <w:rFonts w:ascii="標楷體" w:eastAsia="標楷體" w:hAnsi="標楷體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郵寄地址</w:t>
      </w:r>
      <w:r w:rsidR="00C263B3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：</w:t>
      </w:r>
      <w:r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澳門氹仔偉龍馬路</w:t>
      </w:r>
      <w:r w:rsidR="00C263B3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澳門科技大學H座718E室</w:t>
      </w:r>
    </w:p>
    <w:p w:rsidR="00C263B3" w:rsidRPr="00653FF5" w:rsidRDefault="00C263B3" w:rsidP="00653FF5">
      <w:pPr>
        <w:spacing w:line="300" w:lineRule="auto"/>
        <w:jc w:val="left"/>
        <w:rPr>
          <w:rFonts w:ascii="標楷體" w:eastAsia="標楷體" w:hAnsi="標楷體" w:cs="Courier New"/>
          <w:b/>
          <w:color w:val="000000"/>
          <w:sz w:val="22"/>
          <w:szCs w:val="22"/>
          <w:lang w:eastAsia="zh-TW"/>
        </w:rPr>
      </w:pPr>
    </w:p>
    <w:p w:rsidR="00C263B3" w:rsidRPr="00653FF5" w:rsidRDefault="00C263B3" w:rsidP="00653FF5">
      <w:pPr>
        <w:spacing w:line="300" w:lineRule="auto"/>
        <w:jc w:val="left"/>
        <w:rPr>
          <w:rFonts w:ascii="標楷體" w:eastAsia="標楷體" w:hAnsi="標楷體" w:cstheme="minorBidi"/>
          <w:sz w:val="22"/>
          <w:szCs w:val="22"/>
          <w:lang w:eastAsia="zh-TW"/>
        </w:rPr>
      </w:pPr>
      <w:r w:rsidRPr="00653FF5">
        <w:rPr>
          <w:rFonts w:ascii="標楷體" w:eastAsia="標楷體" w:hAnsi="標楷體" w:cs="Courier New" w:hint="eastAsia"/>
          <w:b/>
          <w:color w:val="000000"/>
          <w:sz w:val="22"/>
          <w:szCs w:val="22"/>
          <w:lang w:eastAsia="zh-TW"/>
        </w:rPr>
        <w:t>教學科目：</w:t>
      </w: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>分析化學（</w:t>
      </w:r>
      <w:r w:rsidRPr="00653FF5">
        <w:rPr>
          <w:rFonts w:ascii="標楷體" w:eastAsia="標楷體" w:hAnsi="標楷體"/>
          <w:sz w:val="22"/>
          <w:szCs w:val="22"/>
          <w:lang w:eastAsia="zh-TW"/>
        </w:rPr>
        <w:t>BP12203/ BPAZ0012</w:t>
      </w: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>）；分析化學實驗（</w:t>
      </w:r>
      <w:r w:rsidRPr="00653FF5">
        <w:rPr>
          <w:rFonts w:ascii="標楷體" w:eastAsia="標楷體" w:hAnsi="標楷體"/>
          <w:sz w:val="22"/>
          <w:szCs w:val="22"/>
          <w:lang w:eastAsia="zh-TW"/>
        </w:rPr>
        <w:t>BP1220</w:t>
      </w: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 xml:space="preserve">4）； </w:t>
      </w:r>
      <w:r w:rsidRPr="00653FF5">
        <w:rPr>
          <w:rFonts w:ascii="標楷體" w:eastAsia="標楷體" w:hAnsi="標楷體" w:cstheme="minorBidi" w:hint="eastAsia"/>
          <w:sz w:val="22"/>
          <w:szCs w:val="22"/>
          <w:lang w:eastAsia="zh-TW"/>
        </w:rPr>
        <w:t>基礎化學實驗(BP12103)</w:t>
      </w: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>；</w:t>
      </w:r>
      <w:r w:rsidRPr="00653FF5">
        <w:rPr>
          <w:rFonts w:ascii="標楷體" w:eastAsia="標楷體" w:hAnsi="標楷體" w:cstheme="minorBidi" w:hint="eastAsia"/>
          <w:sz w:val="22"/>
          <w:szCs w:val="22"/>
          <w:lang w:eastAsia="zh-TW"/>
        </w:rPr>
        <w:t>ME1012中藥藥代動力學</w:t>
      </w: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>；</w:t>
      </w:r>
      <w:r w:rsidRPr="00653FF5">
        <w:rPr>
          <w:rFonts w:ascii="標楷體" w:eastAsia="標楷體" w:hAnsi="標楷體" w:cstheme="minorBidi" w:hint="eastAsia"/>
          <w:sz w:val="22"/>
          <w:szCs w:val="22"/>
          <w:lang w:eastAsia="zh-TW"/>
        </w:rPr>
        <w:t>ME1002儀器分析； DCMSZ02中藥專題導讀</w:t>
      </w: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>；藥物分析</w:t>
      </w:r>
    </w:p>
    <w:p w:rsidR="009809F1" w:rsidRPr="00653FF5" w:rsidRDefault="009809F1" w:rsidP="00653FF5">
      <w:pPr>
        <w:pStyle w:val="a5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</w:p>
    <w:p w:rsidR="00E806DE" w:rsidRPr="00653FF5" w:rsidRDefault="009809F1" w:rsidP="00653FF5">
      <w:pPr>
        <w:pStyle w:val="a5"/>
        <w:spacing w:line="300" w:lineRule="auto"/>
        <w:jc w:val="left"/>
        <w:rPr>
          <w:rFonts w:ascii="標楷體" w:eastAsia="標楷體" w:hAnsi="標楷體"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研究方向：</w:t>
      </w:r>
      <w:r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化學計量學在分析化學中的應用；基於現代分析技術的中藥成分分析及質量控制；核苷酸及脫氧核苷酸代謝與DNA修復</w:t>
      </w:r>
    </w:p>
    <w:p w:rsidR="009809F1" w:rsidRPr="00653FF5" w:rsidRDefault="009809F1" w:rsidP="00653FF5">
      <w:pPr>
        <w:pStyle w:val="a5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</w:p>
    <w:p w:rsidR="00F5368E" w:rsidRPr="00653FF5" w:rsidRDefault="009809F1" w:rsidP="00653FF5">
      <w:pPr>
        <w:pStyle w:val="a5"/>
        <w:spacing w:line="300" w:lineRule="auto"/>
        <w:rPr>
          <w:rFonts w:ascii="標楷體" w:eastAsia="標楷體" w:hAnsi="標楷體" w:cs="Times New Roman"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簡介：</w:t>
      </w:r>
      <w:r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張偉博士，</w:t>
      </w:r>
      <w:r w:rsidRPr="00653FF5">
        <w:rPr>
          <w:rFonts w:ascii="標楷體" w:eastAsia="標楷體" w:hAnsi="標楷體"/>
          <w:color w:val="000000"/>
          <w:sz w:val="22"/>
          <w:szCs w:val="22"/>
          <w:lang w:eastAsia="zh-TW"/>
        </w:rPr>
        <w:t xml:space="preserve"> 2008</w:t>
      </w:r>
      <w:r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年獲得中國葯科大學哲學博士學位。</w:t>
      </w:r>
      <w:r w:rsidRPr="00653FF5">
        <w:rPr>
          <w:rFonts w:ascii="標楷體" w:eastAsia="標楷體" w:hAnsi="標楷體"/>
          <w:color w:val="000000"/>
          <w:sz w:val="22"/>
          <w:szCs w:val="22"/>
          <w:lang w:eastAsia="zh-TW"/>
        </w:rPr>
        <w:t>2008-2012</w:t>
      </w:r>
      <w:r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于美國耶魯大學藥理係從事博士後研究工作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，</w:t>
      </w:r>
      <w:r w:rsidR="00320BF4" w:rsidRPr="00653FF5">
        <w:rPr>
          <w:rFonts w:ascii="標楷體" w:eastAsia="標楷體" w:hAnsi="標楷體"/>
          <w:color w:val="000000"/>
          <w:sz w:val="22"/>
          <w:szCs w:val="22"/>
          <w:lang w:eastAsia="zh-TW"/>
        </w:rPr>
        <w:t>2012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年</w:t>
      </w:r>
      <w:r w:rsidR="00320BF4" w:rsidRPr="00653FF5">
        <w:rPr>
          <w:rFonts w:ascii="標楷體" w:eastAsia="標楷體" w:hAnsi="標楷體"/>
          <w:color w:val="000000"/>
          <w:sz w:val="22"/>
          <w:szCs w:val="22"/>
          <w:lang w:eastAsia="zh-TW"/>
        </w:rPr>
        <w:t>8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月受聘于澳門科技大藥物與健康應用研究所任助理教授，</w:t>
      </w:r>
      <w:r w:rsidR="00320BF4" w:rsidRPr="00653FF5">
        <w:rPr>
          <w:rFonts w:ascii="標楷體" w:eastAsia="標楷體" w:hAnsi="標楷體"/>
          <w:color w:val="000000"/>
          <w:sz w:val="22"/>
          <w:szCs w:val="22"/>
          <w:lang w:eastAsia="zh-TW"/>
        </w:rPr>
        <w:t>201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7年</w:t>
      </w:r>
      <w:r w:rsidR="00320BF4" w:rsidRPr="00653FF5">
        <w:rPr>
          <w:rFonts w:ascii="標楷體" w:eastAsia="標楷體" w:hAnsi="標楷體"/>
          <w:color w:val="000000"/>
          <w:sz w:val="22"/>
          <w:szCs w:val="22"/>
          <w:lang w:eastAsia="zh-TW"/>
        </w:rPr>
        <w:t>8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月升職為副教授。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</w:rPr>
        <w:t>張偉博士一直从事中药质量控制及复方药剂研究，将化学计量学理论应用于中药分析過程，形成简单、成熟、可控的中药质量控制模式，具有较强的实用性。博士后研究期间，参与中药复方PHY906 降低化疗药物胃肠道毒副反应的作用机理研究，发表于Science TranslationalMedicine, 多家世界知名期刊和机构对此研究成果给予了高度肯定。</w:t>
      </w:r>
      <w:r w:rsidR="00320BF4" w:rsidRPr="00653FF5">
        <w:rPr>
          <w:rFonts w:ascii="標楷體" w:eastAsia="標楷體" w:hAnsi="標楷體" w:hint="eastAsia"/>
          <w:color w:val="000000"/>
          <w:sz w:val="22"/>
          <w:szCs w:val="22"/>
          <w:lang w:eastAsia="zh-TW"/>
        </w:rPr>
        <w:t>此外張偉博士還</w:t>
      </w:r>
      <w:r w:rsidR="00320BF4" w:rsidRPr="00653FF5">
        <w:rPr>
          <w:rFonts w:ascii="標楷體" w:eastAsia="標楷體" w:hAnsi="標楷體" w:cs="Times New Roman" w:hint="eastAsia"/>
          <w:color w:val="000000"/>
          <w:sz w:val="22"/>
          <w:szCs w:val="22"/>
          <w:lang w:eastAsia="zh-TW"/>
        </w:rPr>
        <w:t>系統研究了</w:t>
      </w:r>
      <w:r w:rsidR="00320BF4" w:rsidRPr="00653FF5">
        <w:rPr>
          <w:rFonts w:ascii="標楷體" w:eastAsia="標楷體" w:hAnsi="標楷體" w:cs="Times New Roman"/>
          <w:color w:val="000000"/>
          <w:sz w:val="22"/>
          <w:szCs w:val="22"/>
          <w:lang w:eastAsia="zh-TW"/>
        </w:rPr>
        <w:t xml:space="preserve">DNA </w:t>
      </w:r>
      <w:r w:rsidR="00320BF4" w:rsidRPr="00653FF5">
        <w:rPr>
          <w:rFonts w:ascii="標楷體" w:eastAsia="標楷體" w:hAnsi="標楷體" w:cs="Times New Roman" w:hint="eastAsia"/>
          <w:color w:val="000000"/>
          <w:sz w:val="22"/>
          <w:szCs w:val="22"/>
          <w:lang w:eastAsia="zh-TW"/>
        </w:rPr>
        <w:t>損傷及修復過程中核糖核酸及去氧核糖核酸的變化，及在癌細胞與正常細胞之歧異性，進而以此為基礎並結合化學計量學手段尋找了新的抗癌分子標記物。以核苷酸及去氧核苷酸的平衡為指標，尋找到具有明顯協同作用的中藥有效成份。</w:t>
      </w:r>
      <w:r w:rsidR="00F5368E" w:rsidRPr="00653FF5">
        <w:rPr>
          <w:rFonts w:ascii="標楷體" w:eastAsia="標楷體" w:hAnsi="標楷體" w:cs="Times New Roman" w:hint="eastAsia"/>
          <w:color w:val="000000"/>
          <w:sz w:val="22"/>
          <w:szCs w:val="22"/>
        </w:rPr>
        <w:t>张伟副教授近五年来主持了澳门科学技术发展基金重大研究项目、澳门科学技术发展基金-国家基金委联合资助项目等课题，在SCI 收录刊物上发表近50 篇学术论文，拥有澳大利亚创新专利6项。</w:t>
      </w:r>
    </w:p>
    <w:p w:rsidR="00320BF4" w:rsidRPr="00653FF5" w:rsidRDefault="00320BF4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 w:cs="FangSong"/>
          <w:kern w:val="0"/>
          <w:sz w:val="22"/>
          <w:szCs w:val="22"/>
        </w:rPr>
      </w:pPr>
    </w:p>
    <w:p w:rsidR="00FA43C7" w:rsidRPr="00653FF5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</w:rPr>
        <w:t>學歷：</w:t>
      </w:r>
    </w:p>
    <w:p w:rsidR="00F5368E" w:rsidRPr="00653FF5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lastRenderedPageBreak/>
        <w:t>2003年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7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月-</w:t>
      </w:r>
      <w:r w:rsidR="00F5368E" w:rsidRPr="00653FF5">
        <w:rPr>
          <w:rFonts w:ascii="標楷體" w:eastAsia="標楷體" w:hAnsi="標楷體"/>
          <w:bCs/>
          <w:color w:val="000000"/>
          <w:sz w:val="22"/>
          <w:szCs w:val="22"/>
        </w:rPr>
        <w:t>2008</w:t>
      </w:r>
      <w:r w:rsidR="00F5368E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年</w:t>
      </w:r>
      <w:r w:rsidR="00F5368E" w:rsidRPr="00653FF5">
        <w:rPr>
          <w:rFonts w:ascii="標楷體" w:eastAsia="標楷體" w:hAnsi="標楷體"/>
          <w:bCs/>
          <w:color w:val="000000"/>
          <w:sz w:val="22"/>
          <w:szCs w:val="22"/>
        </w:rPr>
        <w:t>7</w:t>
      </w:r>
      <w:r w:rsidR="00F5368E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月</w:t>
      </w:r>
      <w:r w:rsidR="00F5368E" w:rsidRPr="00653FF5">
        <w:rPr>
          <w:rFonts w:ascii="標楷體" w:eastAsia="標楷體" w:hAnsi="標楷體"/>
          <w:bCs/>
          <w:color w:val="000000"/>
          <w:sz w:val="22"/>
          <w:szCs w:val="22"/>
        </w:rPr>
        <w:t xml:space="preserve">   </w:t>
      </w:r>
      <w:r w:rsidR="00F5368E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中国药科大学药物分析专业硕博连读攻读博士学位</w:t>
      </w:r>
    </w:p>
    <w:p w:rsidR="00FA43C7" w:rsidRPr="00653FF5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1996年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7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月-2000年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7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 xml:space="preserve"> </w:t>
      </w:r>
      <w:r w:rsidR="00FA43C7" w:rsidRPr="00653FF5">
        <w:rPr>
          <w:rFonts w:ascii="標楷體" w:eastAsia="標楷體" w:hAnsi="標楷體"/>
          <w:bCs/>
          <w:color w:val="000000"/>
          <w:sz w:val="22"/>
          <w:szCs w:val="22"/>
        </w:rPr>
        <w:t xml:space="preserve">   </w:t>
      </w:r>
      <w:r w:rsidR="00FA43C7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中国药科大学学士学位</w:t>
      </w:r>
    </w:p>
    <w:p w:rsidR="00FA43C7" w:rsidRPr="00653FF5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8B0372" w:rsidRPr="00653FF5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FA43C7" w:rsidRPr="00653FF5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工作經歷：</w:t>
      </w:r>
    </w:p>
    <w:p w:rsidR="00F5368E" w:rsidRPr="00653FF5" w:rsidRDefault="00F5368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17年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8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月-至今  澳門科技大學 副教授</w:t>
      </w:r>
    </w:p>
    <w:p w:rsidR="00F5368E" w:rsidRPr="00653FF5" w:rsidRDefault="00F5368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2012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8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月</w:t>
      </w:r>
      <w:r w:rsidRPr="00653FF5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—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至今</w:t>
      </w:r>
      <w:r w:rsidRPr="00653FF5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  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澳門科技大學</w:t>
      </w:r>
      <w:r w:rsidR="00932037"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 xml:space="preserve"> 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助理教授</w:t>
      </w:r>
    </w:p>
    <w:p w:rsidR="00FA43C7" w:rsidRPr="00653FF5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2008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8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—2012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年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8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 xml:space="preserve">  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美国耶鲁大学医学院</w:t>
      </w:r>
      <w:r w:rsidR="00932037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博士后</w:t>
      </w:r>
    </w:p>
    <w:p w:rsidR="00F5368E" w:rsidRPr="00653FF5" w:rsidRDefault="00F5368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</w:p>
    <w:p w:rsidR="00923A7E" w:rsidRPr="00653FF5" w:rsidRDefault="00923A7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</w:rPr>
        <w:t>學術成果</w:t>
      </w:r>
    </w:p>
    <w:p w:rsidR="00923A7E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部分</w:t>
      </w:r>
      <w:r w:rsidR="00923A7E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發表的</w:t>
      </w:r>
      <w:r w:rsidR="00923A7E" w:rsidRPr="00653FF5">
        <w:rPr>
          <w:rFonts w:ascii="標楷體" w:eastAsia="標楷體" w:hAnsi="標楷體"/>
          <w:bCs/>
          <w:color w:val="000000"/>
          <w:sz w:val="22"/>
          <w:szCs w:val="22"/>
        </w:rPr>
        <w:t>SCI</w:t>
      </w:r>
      <w:r w:rsidR="00923A7E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期刊論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文</w:t>
      </w:r>
      <w:r w:rsidR="00923A7E" w:rsidRPr="00653FF5">
        <w:rPr>
          <w:rFonts w:ascii="標楷體" w:eastAsia="標楷體" w:hAnsi="標楷體" w:cs="SimSun" w:hint="eastAsia"/>
          <w:bCs/>
          <w:color w:val="000000"/>
          <w:sz w:val="22"/>
          <w:szCs w:val="22"/>
        </w:rPr>
        <w:t>：</w:t>
      </w:r>
      <w:r w:rsidR="00923A7E" w:rsidRPr="00653FF5">
        <w:rPr>
          <w:rFonts w:ascii="標楷體" w:eastAsia="標楷體" w:hAnsi="標楷體"/>
          <w:bCs/>
          <w:color w:val="000000"/>
          <w:sz w:val="22"/>
          <w:szCs w:val="22"/>
        </w:rPr>
        <w:t>(</w:t>
      </w:r>
      <w:r w:rsidR="00923A7E" w:rsidRPr="00653FF5">
        <w:rPr>
          <w:rFonts w:ascii="標楷體" w:eastAsia="標楷體" w:hAnsi="標楷體"/>
          <w:b/>
          <w:bCs/>
          <w:color w:val="000000"/>
          <w:sz w:val="22"/>
          <w:szCs w:val="22"/>
          <w:vertAlign w:val="superscript"/>
        </w:rPr>
        <w:t xml:space="preserve">* </w:t>
      </w:r>
      <w:r w:rsidR="00923A7E" w:rsidRPr="00653FF5">
        <w:rPr>
          <w:rFonts w:ascii="標楷體" w:eastAsia="標楷體" w:hAnsi="標楷體"/>
          <w:bCs/>
          <w:color w:val="000000"/>
          <w:sz w:val="22"/>
          <w:szCs w:val="22"/>
        </w:rPr>
        <w:t>Corresponding author</w:t>
      </w:r>
      <w:r w:rsidR="00923A7E"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</w:t>
      </w:r>
      <w:r w:rsidR="00923A7E" w:rsidRPr="00653FF5">
        <w:rPr>
          <w:rFonts w:ascii="標楷體" w:eastAsia="標楷體" w:hAnsi="標楷體"/>
          <w:bCs/>
          <w:color w:val="000000"/>
          <w:sz w:val="22"/>
          <w:szCs w:val="22"/>
        </w:rPr>
        <w:t>)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 xml:space="preserve">X. Wu, Y.L. Chen, Z Xing, C.W.K. Lam, S.S. Pang, </w:t>
      </w:r>
      <w:r w:rsidRPr="00335096">
        <w:rPr>
          <w:rFonts w:ascii="標楷體" w:eastAsia="標楷體" w:hAnsi="標楷體"/>
          <w:b/>
          <w:bCs/>
          <w:color w:val="000000"/>
          <w:sz w:val="22"/>
          <w:szCs w:val="22"/>
        </w:rPr>
        <w:t>W. Zhang</w:t>
      </w:r>
      <w:r w:rsidRPr="00335096">
        <w:rPr>
          <w:rFonts w:ascii="標楷體" w:eastAsia="標楷體" w:hAnsi="標楷體"/>
          <w:b/>
          <w:bCs/>
          <w:color w:val="000000"/>
          <w:sz w:val="22"/>
          <w:szCs w:val="22"/>
          <w:vertAlign w:val="superscript"/>
        </w:rPr>
        <w:t>*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, Z.C. Ju</w:t>
      </w:r>
      <w:r w:rsidRPr="00335096">
        <w:rPr>
          <w:rFonts w:ascii="標楷體" w:eastAsia="標楷體" w:hAnsi="標楷體"/>
          <w:bCs/>
          <w:color w:val="000000"/>
          <w:sz w:val="22"/>
          <w:szCs w:val="22"/>
          <w:vertAlign w:val="superscript"/>
        </w:rPr>
        <w:t>*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, Advanced Carbon‐Based Anodes for Potassium‐Ion Batteries, Advanced Energy Materials</w:t>
      </w:r>
      <w:hyperlink r:id="rId9" w:history="1">
        <w:r w:rsidRPr="00335096">
          <w:rPr>
            <w:rStyle w:val="a8"/>
            <w:rFonts w:ascii="標楷體" w:eastAsia="標楷體" w:hAnsi="標楷體"/>
            <w:bCs/>
            <w:sz w:val="22"/>
            <w:szCs w:val="22"/>
          </w:rPr>
          <w:t xml:space="preserve">, </w:t>
        </w:r>
        <w:r w:rsidRPr="009D0693">
          <w:rPr>
            <w:rFonts w:ascii="標楷體" w:eastAsia="標楷體" w:hAnsi="標楷體"/>
            <w:bCs/>
            <w:color w:val="000000"/>
            <w:sz w:val="22"/>
            <w:szCs w:val="22"/>
          </w:rPr>
          <w:t>1900343 (2019)  DOI: 10.1002/aenm.201900343</w:t>
        </w:r>
      </w:hyperlink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Z. Li, H.X. Zhang, Y Li, C.W.K. Lam, C.Y. Wang, W.J. Zhang, V.K.W. Wong, S.S Pang, M.C. Yao</w:t>
      </w:r>
      <w:r w:rsidRPr="00335096">
        <w:rPr>
          <w:rFonts w:ascii="標楷體" w:eastAsia="標楷體" w:hAnsi="標楷體"/>
          <w:bCs/>
          <w:color w:val="000000"/>
          <w:sz w:val="22"/>
          <w:szCs w:val="22"/>
          <w:vertAlign w:val="superscript"/>
        </w:rPr>
        <w:t>*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 xml:space="preserve">, </w:t>
      </w:r>
      <w:r w:rsidRPr="00335096">
        <w:rPr>
          <w:rFonts w:ascii="標楷體" w:eastAsia="標楷體" w:hAnsi="標楷體"/>
          <w:b/>
          <w:bCs/>
          <w:color w:val="000000"/>
          <w:sz w:val="22"/>
          <w:szCs w:val="22"/>
        </w:rPr>
        <w:t>W. Zhang</w:t>
      </w:r>
      <w:r w:rsidRPr="00335096">
        <w:rPr>
          <w:rFonts w:ascii="標楷體" w:eastAsia="標楷體" w:hAnsi="標楷體"/>
          <w:b/>
          <w:bCs/>
          <w:color w:val="000000"/>
          <w:sz w:val="22"/>
          <w:szCs w:val="22"/>
          <w:vertAlign w:val="superscript"/>
        </w:rPr>
        <w:t>*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,Method for Quantification of Ribonucleotides and Deoxyribonucleotides in Human Cells Using (Trimethylsilyl)diazomethane Derivatization Followed by Liquid Chromatography</w:t>
      </w:r>
      <w:r w:rsidRPr="00335096">
        <w:rPr>
          <w:rFonts w:ascii="Microsoft YaHei" w:eastAsia="Microsoft YaHei" w:hAnsi="Microsoft YaHei" w:cs="Microsoft YaHei" w:hint="eastAsia"/>
          <w:bCs/>
          <w:color w:val="000000"/>
          <w:sz w:val="22"/>
          <w:szCs w:val="22"/>
        </w:rPr>
        <w:t>−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 xml:space="preserve">Tandem Mass Spectrometry, </w:t>
      </w:r>
      <w:hyperlink r:id="rId10" w:history="1">
        <w:r w:rsidRPr="00335096">
          <w:rPr>
            <w:rStyle w:val="a8"/>
            <w:rFonts w:ascii="標楷體" w:eastAsia="標楷體" w:hAnsi="標楷體"/>
            <w:bCs/>
            <w:sz w:val="22"/>
            <w:szCs w:val="22"/>
          </w:rPr>
          <w:t xml:space="preserve"> </w:t>
        </w:r>
        <w:r w:rsidRPr="009D0693">
          <w:rPr>
            <w:rFonts w:ascii="標楷體" w:eastAsia="標楷體" w:hAnsi="標楷體"/>
            <w:bCs/>
            <w:color w:val="000000"/>
            <w:sz w:val="22"/>
            <w:szCs w:val="22"/>
          </w:rPr>
          <w:t>Analytical Chemistry., 91(2019)  1019-1026</w:t>
        </w:r>
      </w:hyperlink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M.P. Liu, W. Li, C. Dai, C.W.K. Lam, Z. Li, J.F. Chen, Z.G. Chen, W. Zhang *, M.C. Yao *, Aqueous extract of Sanguisorba officinalis blocks the Wnt/-catenin signaling pathway in colorectal cancer cells, Rsc Advances, 8 (2018) 10197-10206.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bookmarkStart w:id="0" w:name="_GoBack"/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X. Ling, Y. Xiang, F. Chen, Q. Tang, W. Zhang*, X. Tan*, Intestinal absorption differences of major bioactive compounds of Gegenqinlian Decoction between normal and bacterial diarrheal mini-pigs in vitro and in situ, J Chromatogr B Analyt Technol Biomed Life Sci, 1083 (2018) 93-101.</w:t>
      </w:r>
    </w:p>
    <w:bookmarkEnd w:id="0"/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 Guo, Y. Li, C.W.K. Lam, C. Wang, M. Yao*, W. Zhang*, ZH-1 enhances the anticancer activity of gemcitabine via deoxyribonucleotide synthesis and apoptotic pathway against A549 cells, Food Chem Toxicol, (2018).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X.M. Dai, D.N. Cui, J. Wang, W. Zhang, Z.J. Zhang, F.G. Xu, Systems Pharmacology Based Strategy for Q-Markers Discovery of HuangQin Decoction to Attenuate Intestinal Damage, Front Pharmacol, 9 (2018) 236.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lastRenderedPageBreak/>
        <w:t>X. Wang, D.N. Cui, X.M. Dai, J. Wang, W. Zhang, Z.J. Zhang, F.G. Xu, HuangQin Decoction Attenuates CPT-11-Induced Gastrointestinal Toxicity by Regulating Bile Acids Metabolism Homeostasis, Front Pharmacol, 8 (2017) 156.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Z. Li, J.R. Guo, Q.Q. Chen, C.Y. Wang, W.J. Zhang, M.C. Yao, W. Zhang*, Exploring the Antitumor Mechanism of High-Dose Cytarabine through the Metabolic Perturbations of Ribonucleotide and Deoxyribonucleotide in Human Promyelocytic Leukemia HL-60 Cells, Molecules, 22 (2017).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Q. Guo, Q.Q. Zhang, J.Q. Chen, W. Zhang, H.C. Qiu, Z.J. Zhang, B.M. Liu, F.G. Xu, Liver metabolomics study reveals protective function of Phyllanthus urinaria against CCl4-induced liver injury, Chinese Journal of Natural Medicines, 15 (2017) 525-533.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C. Dai, M.P. Liu, W.J. Zhang, C.W.K. Lam, J.R. Guo, W. Li, J. Wu, J.F. Chen, Z.G. Chen, W. Zhang*, M.C. Yao</w:t>
      </w:r>
      <w:r w:rsidRPr="00335096">
        <w:rPr>
          <w:rFonts w:ascii="標楷體" w:eastAsia="標楷體" w:hAnsi="標楷體"/>
          <w:bCs/>
          <w:color w:val="000000"/>
          <w:sz w:val="22"/>
          <w:szCs w:val="22"/>
          <w:vertAlign w:val="superscript"/>
        </w:rPr>
        <w:t>*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, A material-basis study of Aloe vera on the wnt/beta-catenin signaling pathway using a knockin/knockout method with high-speed countercurrent chromatography, Rsc Advances, 7 (2017) 38819-38829.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Q.Q. Chen, H.L. Xi, C.Y. Wang, F.G. Xu, W. Zhang*, Quantitation of camellianin A in HepG2 cells using a high performance liquid chromatography-electrospray ionization tandem mass spectrometric method, Chin J Nat Med, 15 (2017) 234-240.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J.F. Chen, S.D. Li, M.P. Liu, C.W.K. Lam, Z. Li, X.J. Xu, Z.G. Chen, W. Zhang*, M.C. Yao*, Bioconcentration and Metabolism of Emodin in Zebrafish Eleutheroembryos, Frontiers in Pharmacology, 8 (2017).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J.R. Guo, Q.Q. Chen, C.W.K. Lam, C.Y. Wang, F.G. Xu, B.M. Liu, W. Zhang*, Effect of Phyllanthus amarus Extract on 5-Fluorouracil-Induced Perturbations in Ribonucleotide and Deoxyribonucleotide Pools in HepG2 Cell Line, Molecules, 21 (2016).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J.R. Guo, Q.Q. Chen, C.W.K. Lam, C.Y. Wang, V.K.W. Wong, Z.F. Chang, W. Zhang*, Profiling ribonucleotide and deoxyribonucleotide pools perturbed by gemcitabine in human non-small cell lung cancer cells, Scientific Reports, 6 (2016) 9.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 xml:space="preserve">H.M. Guo, J.Q. Chen, Y. Huang, W. Zhang, F.G. Xu, Z.J. Zhang, A pseudo-kinetics approach for time-series metabolomics investigations: more reliable and sensitive biomarkers revealed in vincristine-induced paralytic 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lastRenderedPageBreak/>
        <w:t>ileus rats, Rsc Advances, 6 (2016) 54471-54478.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Q.Q. Chen, J.R. Guo, S.M. Feng, C.Y. Wang, W. Zhang*, Quantitation of ligupurpurosides B and C in rat plasma using HPLC-MS/MS, Chinese Journal of Natural Medicines, 14 (2016) 473-480.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 Wang, H. Fan, Y. Wang, X. Wang, P. Zhang, J. Chen, Y. Tian, W. Zhang, F. Xu, Z. Zhang, Metabolomic study of Chinese medicine Huang Qin decoction as an effective treatment for irinotecan-induced gastrointestinal toxicity, Rsc Advances, 5 (2015) 26420-26429.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N. Tsao, M.-H. Lee, W. Zhang, Y.-C. Cheng, Z.-F. Chang, The contribution of CMP kinase to the efficiency of DNA repair, Cell Cycle, 14 (2015) 354-363.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C. Martin Sanchez, J.M. Perez Martin, J.-S. Jin, A. Davalos, W. Zhang, G. de la Pena, J. Martinez-Botas, S. Rodriguez-Acebes, Y. Suarez, M. Jose Hazen, D. Gomez-Coronado, R. Busto, Y.-C. Cheng, M.A. Lasuncion, Disruption of the mevalonate pathway induces dNTP depletion and DNA damage, Biochimica Et Biophysica Acta-Molecular and Cell Biology of Lipids, 1851 (2015) 1240-1253.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J.-R. Guo, Q.-Q. Chen, C.W.-K. Lam, W. Zhang*, Effects of karanjin on cell cycle arrest and apoptosis in human A549, HepG2 and HL-60 cancer cells, Biological Research, 48 (2015).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 Guo, Q. Chen, C. Wang, H. Qiu, B. Liu, Z.-H. Jiang, W. Zhang*, Comparison of two exploratory data analysis methods for classification of Phyllanthus chemical fingerprint: unsupervised vs. supervised pattern recognition technologies, Analytical and Bioanalytical Chemistry, 407 (2015) 1389-1401.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J. Guo, Q. Chen, C.W.K. Lam, C. Wang, V.K.W. Wong, F. Xu, Z. Jiang, W. Zhang*, Application of artificial neural network to investigate the effects of 5-fluorouracil on ribonucleotides and deoxyribonucleotides in HepG2 cells, Scientific Reports, 5 (2015).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H. Fan‡, W. Zhang‡, J. Wang, M. Lv, P. Zhang, Z. Zhang, F. Xu, HPLC-MS/MS method for the determination of four lignans from Phyllanthus urinaria L. in rat plasma and its application, Bioanalysis, 7 (2015) 701-712. (Co-first author)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Q.Q. Chen, J. Guo, H. Fan, C. Wang, F. Xu, W. Zhang*, Determination of corilagin in rat plasma using a liquid chromatography-electrospray ionization tandem mass spectrometric method, Biomedical Chromatography, 29 (2015) 1553-1558.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lastRenderedPageBreak/>
        <w:t>W. Zhang, J. Guo, B. Xiang, H. Fan, F. Xu, Improving the detection sensitivity of chromatography by stochastic resonance, Analyst, 139 (2014) 2099-2107.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J. Guo, H. Qiu, C. Wang, Q.Q. Chen, B. Liu, Quantitation of kudinoside A, kudinoside D and kudinoside F in human plasma using a high performance liquid chromatography-electrospray ionization tandem mass spectrometric method, Journal of Chromatography B-Analytical Technologies in the Biomedical and Life Sciences, 972 (2014) 1-5.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X. Lijia, J. Guo, Q. Chen, J. Baoping, W. Zhang*, Quantitation of phlorizin and phloretin using an ultra high performance liquid chromatography-electrospray ionization tandem mass spectrometric method, Journal of Chromatography B-Analytical Technologies in the Biomedical and Life Sciences, 960 (2014) 67-72.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</w:t>
      </w:r>
      <w:r w:rsidRPr="00335096">
        <w:rPr>
          <w:rFonts w:ascii="標楷體" w:eastAsia="標楷體" w:hAnsi="標楷體"/>
          <w:b/>
          <w:bCs/>
          <w:color w:val="000000"/>
          <w:sz w:val="22"/>
          <w:szCs w:val="22"/>
          <w:vertAlign w:val="superscript"/>
        </w:rPr>
        <w:t>‡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, S. Tan</w:t>
      </w:r>
      <w:r w:rsidRPr="00335096">
        <w:rPr>
          <w:rFonts w:ascii="標楷體" w:eastAsia="標楷體" w:hAnsi="標楷體"/>
          <w:b/>
          <w:bCs/>
          <w:color w:val="000000"/>
          <w:sz w:val="22"/>
          <w:szCs w:val="22"/>
          <w:vertAlign w:val="superscript"/>
        </w:rPr>
        <w:t>‡</w:t>
      </w: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, E. Paintsil, G.E. Dutschman, E.A. Gullen, E. Chu, Y.-C. Cheng, Analysis of deoxyribonucleotide pools in human cancer cell lines using a liquid chromatography coupled with tandem mass spectrometry technique, Biochemical Pharmacology, 82 (2011) 411-417. (Co-first author)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G.E. Dutschman, X. Li, Y.-C. Cheng, Quantitation of paclitaxel and its two major metabolites using a liquid chromatography-electrospray ionization tandem mass spectrometry, Journal of Chromatography B-Analytical Technologies in the Biomedical and Life Sciences, 879 (2011) 2018-2022.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M.W. Saif, G.E. Dutschman, X. Li, W. Lam, S. Bussom, Z. Jiang, M. Ye, E. Chu, Y.-C. Cheng, Identification of chemicals and their metabolites from PHY906, a Chinese medicine formulation, in the plasma of a patient treated with irinotecan and PHY906 using liquid chromatography/tandem mass spectrometry (LC/MS/MS), Journal of Chromatography A, 1217 (2010) 5785-5793.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Lam, S. Bussom, F. Guan, Z. Jiang, W. Zhang, E.A. Gullen, S.-H. Liu, Y.-C. Cheng, The Four-Herb Chinese Medicine PHY906 Reduces Chemotherapy-Induced Gastrointestinal Toxicity, Science Translational Medicine, 2 (2010).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G.E. Dutschman, X. Li, M. Ye, Y.-C. Cheng, Quantitation of Irinotecan and its two major metabolites using a liquid chromatography-electrospray ionization tandem mass spectrometric, Journal of Chromatography B-Analytical Technologies in the Biomedical and Life Sciences, 877 (2009) 3038-3044.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lastRenderedPageBreak/>
        <w:t>C. Wang, B. Xiang, W. Zhang, Application of two-dimensional near-infrared (2D-NIR) correlation spectroscopy to the discrimination of three species of Dendrobium, Journal of Chemometrics, 23 (2009) 463-470.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B.-r. Xiang, J. Zhang, High-performance liquid chromatography method for the determination of mycophenolic acid in human plasma and application to a pharmacokinetic study of mycophenolic acid dispersible tablet, Arzneimittel-Forschung-Drug Research, 58 (2008) 348-352.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B.-r. Xiang, Y. Zhan, L. Yu, T. Wang, C.-Y. Wang, HPLC Method for the Determination of Bezafibrate in Human Plasma and Application to a Pharmacokinetic Study of Bezafibrate Dispersible Tablet, Journal of Chromatographic Science, 46 (2008) 844-847.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B.-r. Xiang, P.-c. Ma, Determination of oxymatrine in human plasma by LC-MS and study on its pharmacokinetics, Journal of Chromatographic Science, 46 (2008) 529-533.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B.-r. Xiang, C.-y. Wang, Liquid chromatography-mass spectrometry method for the determination of venlafaxine in human plasma and application to a pharmacokinetic study, Biomedical Chromatography, 21 (2007) 266-272.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B.-R. Xiang, A Duffing oscillator algorithm to detect the weak chromatographic signal, Analytica Chimica Acta, 585 (2007) 55-59.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B.R. Xiang, Y.W. Wu, E.X. Shang, Stochastic resonance is applied to quantitative analysis for weak chromatographic signal of roxithromycin in beagle dog plasma, Journal of Chromatography B-Analytical Technologies in the Biomedical and Life Sciences, 831 (2006) 307-312.</w:t>
      </w:r>
    </w:p>
    <w:p w:rsidR="00335096" w:rsidRPr="00335096" w:rsidRDefault="00335096" w:rsidP="009D069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335096">
        <w:rPr>
          <w:rFonts w:ascii="標楷體" w:eastAsia="標楷體" w:hAnsi="標楷體"/>
          <w:bCs/>
          <w:color w:val="000000"/>
          <w:sz w:val="22"/>
          <w:szCs w:val="22"/>
        </w:rPr>
        <w:t>W. Zhang, B.-R. Xiang, A new single-well potential stochastic resonance algorithm to detect the weak signal, Talanta, 70 (2006) 267-271.</w:t>
      </w:r>
    </w:p>
    <w:p w:rsidR="00F732B9" w:rsidRPr="00653FF5" w:rsidRDefault="00F732B9" w:rsidP="00653FF5">
      <w:pPr>
        <w:spacing w:line="300" w:lineRule="auto"/>
        <w:rPr>
          <w:rFonts w:ascii="標楷體" w:eastAsia="標楷體" w:hAnsi="標楷體"/>
          <w:sz w:val="22"/>
          <w:szCs w:val="22"/>
        </w:rPr>
      </w:pPr>
    </w:p>
    <w:p w:rsidR="00F732B9" w:rsidRPr="00653FF5" w:rsidRDefault="00F732B9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AA16E1" w:rsidRPr="00653FF5" w:rsidRDefault="007E54DD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</w:rPr>
        <w:t>學術書籍</w:t>
      </w:r>
    </w:p>
    <w:p w:rsidR="00F732B9" w:rsidRPr="00653FF5" w:rsidRDefault="00F732B9" w:rsidP="00653FF5">
      <w:pPr>
        <w:spacing w:line="300" w:lineRule="auto"/>
        <w:rPr>
          <w:rFonts w:ascii="標楷體" w:eastAsia="標楷體" w:hAnsi="標楷體"/>
          <w:sz w:val="22"/>
          <w:szCs w:val="22"/>
        </w:rPr>
      </w:pPr>
      <w:r w:rsidRPr="00653FF5">
        <w:rPr>
          <w:rFonts w:ascii="標楷體" w:eastAsia="標楷體" w:hAnsi="標楷體"/>
          <w:sz w:val="22"/>
          <w:szCs w:val="22"/>
        </w:rPr>
        <w:t xml:space="preserve">Wing Lam , Scott Bussom , Zaoli Jiang , </w:t>
      </w:r>
      <w:r w:rsidRPr="00653FF5">
        <w:rPr>
          <w:rFonts w:ascii="標楷體" w:eastAsia="標楷體" w:hAnsi="標楷體"/>
          <w:color w:val="FF0000"/>
          <w:sz w:val="22"/>
          <w:szCs w:val="22"/>
        </w:rPr>
        <w:t>Wei Zhang</w:t>
      </w:r>
      <w:r w:rsidRPr="00653FF5">
        <w:rPr>
          <w:rFonts w:ascii="標楷體" w:eastAsia="標楷體" w:hAnsi="標楷體"/>
          <w:sz w:val="22"/>
          <w:szCs w:val="22"/>
        </w:rPr>
        <w:t xml:space="preserve"> , Fulan Guan , Shwu-Huey Liu , and Yung-Chi Cheng </w:t>
      </w:r>
      <w:r w:rsidRPr="00653FF5">
        <w:rPr>
          <w:rFonts w:ascii="標楷體" w:eastAsia="標楷體" w:hAnsi="標楷體" w:hint="eastAsia"/>
          <w:sz w:val="22"/>
          <w:szCs w:val="22"/>
        </w:rPr>
        <w:t xml:space="preserve">, </w:t>
      </w:r>
      <w:r w:rsidRPr="00653FF5">
        <w:rPr>
          <w:rFonts w:ascii="標楷體" w:eastAsia="標楷體" w:hAnsi="標楷體"/>
          <w:sz w:val="22"/>
          <w:szCs w:val="22"/>
        </w:rPr>
        <w:t>“Inflammation, Oxidative Stress and Cancer: Dietary Approaches for Cancer Prevention”</w:t>
      </w:r>
      <w:r w:rsidRPr="00653FF5">
        <w:rPr>
          <w:rFonts w:ascii="標楷體" w:eastAsia="標楷體" w:hAnsi="標楷體" w:hint="eastAsia"/>
          <w:sz w:val="22"/>
          <w:szCs w:val="22"/>
        </w:rPr>
        <w:t xml:space="preserve"> </w:t>
      </w:r>
      <w:r w:rsidRPr="00653FF5">
        <w:rPr>
          <w:rFonts w:ascii="標楷體" w:eastAsia="標楷體" w:hAnsi="標楷體"/>
          <w:sz w:val="22"/>
          <w:szCs w:val="22"/>
        </w:rPr>
        <w:t>CRC press, INC.</w:t>
      </w:r>
      <w:r w:rsidRPr="00653FF5">
        <w:rPr>
          <w:rFonts w:ascii="標楷體" w:eastAsia="標楷體" w:hAnsi="標楷體" w:hint="eastAsia"/>
          <w:sz w:val="22"/>
          <w:szCs w:val="22"/>
        </w:rPr>
        <w:t>,(</w:t>
      </w:r>
      <w:r w:rsidRPr="00653FF5">
        <w:rPr>
          <w:rFonts w:ascii="標楷體" w:eastAsia="標楷體" w:hAnsi="標楷體"/>
          <w:sz w:val="22"/>
          <w:szCs w:val="22"/>
        </w:rPr>
        <w:t>ISBN 9781466503700</w:t>
      </w:r>
      <w:r w:rsidRPr="00653FF5">
        <w:rPr>
          <w:rFonts w:ascii="標楷體" w:eastAsia="標楷體" w:hAnsi="標楷體" w:hint="eastAsia"/>
          <w:sz w:val="22"/>
          <w:szCs w:val="22"/>
        </w:rPr>
        <w:t xml:space="preserve">), </w:t>
      </w:r>
      <w:r w:rsidRPr="00653FF5">
        <w:rPr>
          <w:rFonts w:ascii="標楷體" w:eastAsia="標楷體" w:hAnsi="標楷體"/>
          <w:sz w:val="22"/>
          <w:szCs w:val="22"/>
        </w:rPr>
        <w:t>Chapter Number</w:t>
      </w:r>
      <w:r w:rsidRPr="00653FF5">
        <w:rPr>
          <w:rFonts w:ascii="標楷體" w:eastAsia="標楷體" w:hAnsi="標楷體" w:hint="eastAsia"/>
          <w:sz w:val="22"/>
          <w:szCs w:val="22"/>
        </w:rPr>
        <w:t xml:space="preserve"> </w:t>
      </w:r>
      <w:r w:rsidRPr="00653FF5">
        <w:rPr>
          <w:rFonts w:ascii="標楷體" w:eastAsia="標楷體" w:hAnsi="標楷體"/>
          <w:sz w:val="22"/>
          <w:szCs w:val="22"/>
        </w:rPr>
        <w:t>29</w:t>
      </w:r>
      <w:r w:rsidRPr="00653FF5">
        <w:rPr>
          <w:rFonts w:ascii="標楷體" w:eastAsia="標楷體" w:hAnsi="標楷體" w:hint="eastAsia"/>
          <w:sz w:val="22"/>
          <w:szCs w:val="22"/>
        </w:rPr>
        <w:t xml:space="preserve">, </w:t>
      </w:r>
      <w:r w:rsidRPr="00653FF5">
        <w:rPr>
          <w:rFonts w:ascii="標楷體" w:eastAsia="標楷體" w:hAnsi="標楷體"/>
          <w:sz w:val="22"/>
          <w:szCs w:val="22"/>
        </w:rPr>
        <w:t>”PHY906,a cancer adjuvant therapy,differentially affects inflammation of different tissues”</w:t>
      </w:r>
      <w:r w:rsidRPr="00653FF5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0517C8" w:rsidRPr="00653FF5" w:rsidRDefault="000517C8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F732B9" w:rsidRPr="00653FF5" w:rsidRDefault="000517C8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</w:rPr>
        <w:t>學術機構及社會任職</w:t>
      </w:r>
    </w:p>
    <w:p w:rsidR="00932037" w:rsidRPr="00653FF5" w:rsidRDefault="00932037" w:rsidP="00653FF5">
      <w:pPr>
        <w:widowControl/>
        <w:shd w:val="clear" w:color="auto" w:fill="FFFFFF"/>
        <w:spacing w:line="300" w:lineRule="auto"/>
        <w:rPr>
          <w:rFonts w:ascii="標楷體" w:eastAsia="標楷體" w:hAnsi="標楷體"/>
          <w:bCs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世界中联中医药免疫专业委员会常务理事</w:t>
      </w:r>
    </w:p>
    <w:p w:rsidR="000517C8" w:rsidRPr="007F677E" w:rsidRDefault="0093203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澳門化驗師公會會員</w:t>
      </w:r>
    </w:p>
    <w:p w:rsidR="007F677E" w:rsidRPr="007F677E" w:rsidRDefault="007F677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7F677E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澳門科學技術協進會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會員</w:t>
      </w:r>
    </w:p>
    <w:p w:rsidR="00077F7E" w:rsidRPr="00653FF5" w:rsidRDefault="00077F7E" w:rsidP="00653FF5">
      <w:pPr>
        <w:autoSpaceDE w:val="0"/>
        <w:autoSpaceDN w:val="0"/>
        <w:adjustRightInd w:val="0"/>
        <w:spacing w:line="300" w:lineRule="auto"/>
        <w:ind w:left="1"/>
        <w:rPr>
          <w:rFonts w:ascii="標楷體" w:eastAsia="標楷體" w:hAnsi="標楷體"/>
          <w:bCs/>
          <w:color w:val="000000"/>
          <w:sz w:val="22"/>
          <w:szCs w:val="22"/>
        </w:rPr>
      </w:pP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期刊审稿人：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Journal of Chromatography B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2012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）；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Biomedical Chromatography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2014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）；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Biotechnology Advances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 xml:space="preserve"> 2014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）；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Journal of Separation Science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2016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）；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Current Pharmaceutical Analysis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2016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）；；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Phytomedicine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（2017）；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Analytical Chemistry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（2017）；</w:t>
      </w:r>
      <w:r w:rsidRPr="00653FF5">
        <w:rPr>
          <w:rFonts w:ascii="標楷體" w:eastAsia="標楷體" w:hAnsi="標楷體"/>
          <w:bCs/>
          <w:color w:val="000000"/>
          <w:sz w:val="22"/>
          <w:szCs w:val="22"/>
        </w:rPr>
        <w:t>Frontiers in Pharmacology</w:t>
      </w:r>
      <w:r w:rsidRPr="00653FF5">
        <w:rPr>
          <w:rFonts w:ascii="標楷體" w:eastAsia="標楷體" w:hAnsi="標楷體" w:hint="eastAsia"/>
          <w:bCs/>
          <w:color w:val="000000"/>
          <w:sz w:val="22"/>
          <w:szCs w:val="22"/>
        </w:rPr>
        <w:t>（2016-2018）</w:t>
      </w:r>
    </w:p>
    <w:p w:rsidR="000517C8" w:rsidRPr="00653FF5" w:rsidRDefault="000517C8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7E54DD" w:rsidRPr="00653FF5" w:rsidRDefault="007E54DD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  <w:r w:rsidRPr="00653FF5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學術獎勵</w:t>
      </w:r>
    </w:p>
    <w:p w:rsidR="008B0372" w:rsidRPr="00653FF5" w:rsidRDefault="008B0372" w:rsidP="00653FF5">
      <w:pPr>
        <w:spacing w:line="300" w:lineRule="auto"/>
        <w:rPr>
          <w:rFonts w:ascii="標楷體" w:eastAsia="標楷體" w:hAnsi="標楷體"/>
          <w:sz w:val="22"/>
          <w:szCs w:val="22"/>
          <w:lang w:eastAsia="zh-TW"/>
        </w:rPr>
      </w:pPr>
      <w:r w:rsidRPr="00653FF5">
        <w:rPr>
          <w:rFonts w:ascii="標楷體" w:eastAsia="標楷體" w:hAnsi="標楷體" w:hint="eastAsia"/>
          <w:sz w:val="22"/>
          <w:szCs w:val="22"/>
          <w:lang w:eastAsia="zh-TW"/>
        </w:rPr>
        <w:t xml:space="preserve">2014年度澳門科技大學中銀學術研究優秀獎 </w:t>
      </w:r>
    </w:p>
    <w:p w:rsidR="00AA16E1" w:rsidRPr="00653FF5" w:rsidRDefault="00AA16E1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</w:p>
    <w:p w:rsidR="00AA16E1" w:rsidRPr="00653FF5" w:rsidRDefault="00AA16E1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</w:p>
    <w:p w:rsidR="00AA16E1" w:rsidRPr="00653FF5" w:rsidRDefault="00AA16E1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</w:p>
    <w:p w:rsidR="00AA16E1" w:rsidRPr="00653FF5" w:rsidRDefault="00AA16E1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</w:p>
    <w:sectPr w:rsidR="00AA16E1" w:rsidRPr="00653FF5" w:rsidSect="00F82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E3" w:rsidRDefault="006742E3" w:rsidP="005718C4">
      <w:r>
        <w:separator/>
      </w:r>
    </w:p>
  </w:endnote>
  <w:endnote w:type="continuationSeparator" w:id="0">
    <w:p w:rsidR="006742E3" w:rsidRDefault="006742E3" w:rsidP="0057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E3" w:rsidRDefault="006742E3" w:rsidP="005718C4">
      <w:r>
        <w:separator/>
      </w:r>
    </w:p>
  </w:footnote>
  <w:footnote w:type="continuationSeparator" w:id="0">
    <w:p w:rsidR="006742E3" w:rsidRDefault="006742E3" w:rsidP="0057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7CF"/>
    <w:multiLevelType w:val="hybridMultilevel"/>
    <w:tmpl w:val="4456E5D6"/>
    <w:lvl w:ilvl="0" w:tplc="C61A4D06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abstractNum w:abstractNumId="1" w15:restartNumberingAfterBreak="0">
    <w:nsid w:val="213D5CD7"/>
    <w:multiLevelType w:val="hybridMultilevel"/>
    <w:tmpl w:val="6AE06EB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3C1FBD"/>
    <w:multiLevelType w:val="hybridMultilevel"/>
    <w:tmpl w:val="B32C2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DE4E1B"/>
    <w:multiLevelType w:val="hybridMultilevel"/>
    <w:tmpl w:val="144A9F62"/>
    <w:lvl w:ilvl="0" w:tplc="0068E0D0">
      <w:start w:val="1"/>
      <w:numFmt w:val="decimal"/>
      <w:lvlText w:val="%1. 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207262"/>
    <w:multiLevelType w:val="hybridMultilevel"/>
    <w:tmpl w:val="B1B29FFE"/>
    <w:lvl w:ilvl="0" w:tplc="7B107B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1" w:hanging="480"/>
      </w:pPr>
      <w:rPr>
        <w:rFonts w:cs="Times New Roman"/>
      </w:rPr>
    </w:lvl>
  </w:abstractNum>
  <w:abstractNum w:abstractNumId="5" w15:restartNumberingAfterBreak="0">
    <w:nsid w:val="791A372D"/>
    <w:multiLevelType w:val="multilevel"/>
    <w:tmpl w:val="E0E44EDE"/>
    <w:lvl w:ilvl="0">
      <w:start w:val="1"/>
      <w:numFmt w:val="bullet"/>
      <w:lvlText w:val=""/>
      <w:lvlJc w:val="left"/>
      <w:pPr>
        <w:tabs>
          <w:tab w:val="num" w:pos="1134"/>
        </w:tabs>
        <w:ind w:left="1134" w:hanging="397"/>
      </w:pPr>
      <w:rPr>
        <w:rFonts w:ascii="Wingdings" w:eastAsia="Arial Unicode M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461114"/>
    <w:multiLevelType w:val="hybridMultilevel"/>
    <w:tmpl w:val="B7B640F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D7213E"/>
    <w:multiLevelType w:val="hybridMultilevel"/>
    <w:tmpl w:val="E0E44EDE"/>
    <w:lvl w:ilvl="0" w:tplc="E78CA2D4">
      <w:start w:val="1"/>
      <w:numFmt w:val="bullet"/>
      <w:lvlText w:val=""/>
      <w:lvlJc w:val="left"/>
      <w:pPr>
        <w:tabs>
          <w:tab w:val="num" w:pos="1134"/>
        </w:tabs>
        <w:ind w:left="1134" w:hanging="397"/>
      </w:pPr>
      <w:rPr>
        <w:rFonts w:ascii="Wingdings" w:eastAsia="Arial Unicode M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3B173C"/>
    <w:multiLevelType w:val="hybridMultilevel"/>
    <w:tmpl w:val="CB0E6450"/>
    <w:lvl w:ilvl="0" w:tplc="8506DA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51"/>
    <w:rsid w:val="000517C8"/>
    <w:rsid w:val="000704B2"/>
    <w:rsid w:val="00077F7E"/>
    <w:rsid w:val="000D6B84"/>
    <w:rsid w:val="000E7A51"/>
    <w:rsid w:val="000F044F"/>
    <w:rsid w:val="00104C7F"/>
    <w:rsid w:val="00115B74"/>
    <w:rsid w:val="00132C45"/>
    <w:rsid w:val="001368ED"/>
    <w:rsid w:val="00141C13"/>
    <w:rsid w:val="001815EA"/>
    <w:rsid w:val="00192E08"/>
    <w:rsid w:val="001A30F0"/>
    <w:rsid w:val="001D7C9C"/>
    <w:rsid w:val="00224392"/>
    <w:rsid w:val="002369BE"/>
    <w:rsid w:val="00251C6B"/>
    <w:rsid w:val="002833EB"/>
    <w:rsid w:val="002A1E6B"/>
    <w:rsid w:val="002C148E"/>
    <w:rsid w:val="002C4DE9"/>
    <w:rsid w:val="002E6FD8"/>
    <w:rsid w:val="00320BF4"/>
    <w:rsid w:val="00335096"/>
    <w:rsid w:val="0035635E"/>
    <w:rsid w:val="0037059A"/>
    <w:rsid w:val="003B08B2"/>
    <w:rsid w:val="003E7D6A"/>
    <w:rsid w:val="003F16E2"/>
    <w:rsid w:val="0042453C"/>
    <w:rsid w:val="00466E8C"/>
    <w:rsid w:val="00490463"/>
    <w:rsid w:val="004E6AD4"/>
    <w:rsid w:val="00552A0D"/>
    <w:rsid w:val="005718C4"/>
    <w:rsid w:val="005B72E7"/>
    <w:rsid w:val="005D6282"/>
    <w:rsid w:val="005E1103"/>
    <w:rsid w:val="005F53BC"/>
    <w:rsid w:val="006174AB"/>
    <w:rsid w:val="00653FF5"/>
    <w:rsid w:val="006742E3"/>
    <w:rsid w:val="006A0835"/>
    <w:rsid w:val="006D308B"/>
    <w:rsid w:val="006E3684"/>
    <w:rsid w:val="007C5B0C"/>
    <w:rsid w:val="007E54DD"/>
    <w:rsid w:val="007F677E"/>
    <w:rsid w:val="008010ED"/>
    <w:rsid w:val="008030F0"/>
    <w:rsid w:val="008366CE"/>
    <w:rsid w:val="008764F6"/>
    <w:rsid w:val="00893996"/>
    <w:rsid w:val="008A2410"/>
    <w:rsid w:val="008B0372"/>
    <w:rsid w:val="008B5039"/>
    <w:rsid w:val="008C607F"/>
    <w:rsid w:val="008C6436"/>
    <w:rsid w:val="00903418"/>
    <w:rsid w:val="00923A7E"/>
    <w:rsid w:val="00932037"/>
    <w:rsid w:val="0094578E"/>
    <w:rsid w:val="009524E7"/>
    <w:rsid w:val="009655F1"/>
    <w:rsid w:val="00970A4E"/>
    <w:rsid w:val="00977B08"/>
    <w:rsid w:val="009809F1"/>
    <w:rsid w:val="009D0693"/>
    <w:rsid w:val="009D398C"/>
    <w:rsid w:val="00A1264E"/>
    <w:rsid w:val="00A8576F"/>
    <w:rsid w:val="00AA16E1"/>
    <w:rsid w:val="00AD5F61"/>
    <w:rsid w:val="00B1513E"/>
    <w:rsid w:val="00B22E5D"/>
    <w:rsid w:val="00B70013"/>
    <w:rsid w:val="00B7218B"/>
    <w:rsid w:val="00B752D7"/>
    <w:rsid w:val="00BE7811"/>
    <w:rsid w:val="00C03879"/>
    <w:rsid w:val="00C263B3"/>
    <w:rsid w:val="00C4692A"/>
    <w:rsid w:val="00C51E3D"/>
    <w:rsid w:val="00C55187"/>
    <w:rsid w:val="00C8646D"/>
    <w:rsid w:val="00C93ED3"/>
    <w:rsid w:val="00CC06DC"/>
    <w:rsid w:val="00CF6108"/>
    <w:rsid w:val="00D32B0F"/>
    <w:rsid w:val="00D37B74"/>
    <w:rsid w:val="00E806DE"/>
    <w:rsid w:val="00E85021"/>
    <w:rsid w:val="00EB6948"/>
    <w:rsid w:val="00EF6651"/>
    <w:rsid w:val="00F5368E"/>
    <w:rsid w:val="00F732B9"/>
    <w:rsid w:val="00F82660"/>
    <w:rsid w:val="00F957A4"/>
    <w:rsid w:val="00FA43C7"/>
    <w:rsid w:val="00FA5C40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1A730"/>
  <w15:docId w15:val="{7F520EAB-2D99-49FB-BC51-E213A2FD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51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paragraph" w:styleId="3">
    <w:name w:val="heading 3"/>
    <w:basedOn w:val="a"/>
    <w:link w:val="30"/>
    <w:uiPriority w:val="99"/>
    <w:qFormat/>
    <w:rsid w:val="008C607F"/>
    <w:pPr>
      <w:widowControl/>
      <w:spacing w:before="100" w:beforeAutospacing="1" w:after="100" w:afterAutospacing="1"/>
      <w:jc w:val="left"/>
      <w:outlineLvl w:val="2"/>
    </w:pPr>
    <w:rPr>
      <w:rFonts w:eastAsia="新細明體"/>
      <w:b/>
      <w:bCs/>
      <w:kern w:val="0"/>
      <w:sz w:val="27"/>
      <w:szCs w:val="27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8C607F"/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D32B0F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D32B0F"/>
    <w:rPr>
      <w:rFonts w:ascii="Cambria" w:eastAsia="新細明體" w:hAnsi="Cambria" w:cs="Times New Roman"/>
      <w:sz w:val="18"/>
      <w:szCs w:val="18"/>
      <w:lang w:eastAsia="zh-CN"/>
    </w:rPr>
  </w:style>
  <w:style w:type="paragraph" w:styleId="a5">
    <w:name w:val="Plain Text"/>
    <w:basedOn w:val="a"/>
    <w:link w:val="a6"/>
    <w:uiPriority w:val="99"/>
    <w:rsid w:val="001A30F0"/>
    <w:rPr>
      <w:rFonts w:ascii="SimSun" w:hAnsi="Courier New" w:cs="Courier New"/>
      <w:szCs w:val="21"/>
    </w:rPr>
  </w:style>
  <w:style w:type="character" w:customStyle="1" w:styleId="a6">
    <w:name w:val="純文字 字元"/>
    <w:link w:val="a5"/>
    <w:uiPriority w:val="99"/>
    <w:locked/>
    <w:rsid w:val="001A30F0"/>
    <w:rPr>
      <w:rFonts w:ascii="SimSun" w:eastAsia="SimSun" w:hAnsi="Courier New" w:cs="Courier New"/>
      <w:sz w:val="21"/>
      <w:szCs w:val="21"/>
      <w:lang w:eastAsia="zh-CN"/>
    </w:rPr>
  </w:style>
  <w:style w:type="paragraph" w:styleId="a7">
    <w:name w:val="List Paragraph"/>
    <w:basedOn w:val="a"/>
    <w:uiPriority w:val="34"/>
    <w:qFormat/>
    <w:rsid w:val="001A30F0"/>
    <w:pPr>
      <w:ind w:leftChars="200" w:left="480"/>
    </w:pPr>
  </w:style>
  <w:style w:type="character" w:customStyle="1" w:styleId="shorttext">
    <w:name w:val="short_text"/>
    <w:uiPriority w:val="99"/>
    <w:rsid w:val="00D37B74"/>
    <w:rPr>
      <w:rFonts w:cs="Times New Roman"/>
    </w:rPr>
  </w:style>
  <w:style w:type="character" w:customStyle="1" w:styleId="hps">
    <w:name w:val="hps"/>
    <w:uiPriority w:val="99"/>
    <w:rsid w:val="00D37B74"/>
    <w:rPr>
      <w:rFonts w:cs="Times New Roman"/>
    </w:rPr>
  </w:style>
  <w:style w:type="character" w:styleId="a8">
    <w:name w:val="Hyperlink"/>
    <w:uiPriority w:val="99"/>
    <w:rsid w:val="008C607F"/>
    <w:rPr>
      <w:rFonts w:cs="Times New Roman"/>
      <w:color w:val="0000FF"/>
      <w:u w:val="single"/>
    </w:rPr>
  </w:style>
  <w:style w:type="character" w:styleId="a9">
    <w:name w:val="Emphasis"/>
    <w:uiPriority w:val="99"/>
    <w:qFormat/>
    <w:rsid w:val="008C607F"/>
    <w:rPr>
      <w:rFonts w:cs="Times New Roman"/>
      <w:i/>
      <w:iCs/>
    </w:rPr>
  </w:style>
  <w:style w:type="character" w:customStyle="1" w:styleId="pagecontents">
    <w:name w:val="pagecontents"/>
    <w:uiPriority w:val="99"/>
    <w:rsid w:val="00141C13"/>
    <w:rPr>
      <w:rFonts w:cs="Times New Roman"/>
    </w:rPr>
  </w:style>
  <w:style w:type="character" w:styleId="aa">
    <w:name w:val="Strong"/>
    <w:uiPriority w:val="99"/>
    <w:qFormat/>
    <w:rsid w:val="00141C13"/>
    <w:rPr>
      <w:rFonts w:cs="Times New Roman"/>
      <w:b/>
      <w:bCs/>
    </w:rPr>
  </w:style>
  <w:style w:type="character" w:customStyle="1" w:styleId="31">
    <w:name w:val="字元 字元3"/>
    <w:uiPriority w:val="99"/>
    <w:locked/>
    <w:rsid w:val="007C5B0C"/>
    <w:rPr>
      <w:rFonts w:ascii="MS Mincho" w:eastAsia="MS Mincho" w:hAnsi="Courier New"/>
      <w:kern w:val="2"/>
      <w:sz w:val="21"/>
      <w:lang w:eastAsia="ja-JP"/>
    </w:rPr>
  </w:style>
  <w:style w:type="paragraph" w:styleId="ab">
    <w:name w:val="header"/>
    <w:basedOn w:val="a"/>
    <w:link w:val="ac"/>
    <w:uiPriority w:val="99"/>
    <w:unhideWhenUsed/>
    <w:rsid w:val="00571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18C4"/>
    <w:rPr>
      <w:rFonts w:ascii="Times New Roman" w:eastAsia="SimSun" w:hAnsi="Times New Roman"/>
      <w:kern w:val="2"/>
      <w:lang w:eastAsia="zh-CN"/>
    </w:rPr>
  </w:style>
  <w:style w:type="paragraph" w:styleId="ad">
    <w:name w:val="footer"/>
    <w:basedOn w:val="a"/>
    <w:link w:val="ae"/>
    <w:uiPriority w:val="99"/>
    <w:unhideWhenUsed/>
    <w:rsid w:val="00571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18C4"/>
    <w:rPr>
      <w:rFonts w:ascii="Times New Roman" w:eastAsia="SimSu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hang@must.edu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ubs.acs.org/action/showCitFormats?doi=10.1021%2Facs.analchem.8b04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acs.org/action/showCitFormats?doi=10.1021%2Facs.analchem.8b04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Wei (張偉)</dc:creator>
  <cp:lastModifiedBy>Zhang Wei (張偉)</cp:lastModifiedBy>
  <cp:revision>11</cp:revision>
  <cp:lastPrinted>2012-12-12T04:44:00Z</cp:lastPrinted>
  <dcterms:created xsi:type="dcterms:W3CDTF">2018-08-14T01:20:00Z</dcterms:created>
  <dcterms:modified xsi:type="dcterms:W3CDTF">2022-03-23T02:01:00Z</dcterms:modified>
</cp:coreProperties>
</file>